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8F04" w14:textId="3473973B" w:rsidR="00F46662" w:rsidRPr="008E31D4" w:rsidRDefault="00B63B1A" w:rsidP="008E31D4">
      <w:pPr>
        <w:spacing w:line="360" w:lineRule="auto"/>
        <w:jc w:val="both"/>
        <w:rPr>
          <w:rFonts w:ascii="Century Gothic" w:hAnsi="Century Gothic"/>
          <w:lang w:val="en-US"/>
        </w:rPr>
      </w:pPr>
      <w:r w:rsidRPr="008E31D4">
        <w:rPr>
          <w:rFonts w:ascii="Century Gothic" w:hAnsi="Century Gothic"/>
          <w:noProof/>
          <w:lang w:val="en-US"/>
        </w:rPr>
        <w:drawing>
          <wp:inline distT="0" distB="0" distL="0" distR="0" wp14:anchorId="6A1E1778" wp14:editId="5B6D483C">
            <wp:extent cx="5570220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9902D9" w14:textId="77777777" w:rsidR="003F08D0" w:rsidRPr="008E31D4" w:rsidRDefault="003F08D0" w:rsidP="008E31D4">
      <w:pPr>
        <w:tabs>
          <w:tab w:val="left" w:pos="864"/>
        </w:tabs>
        <w:spacing w:line="360" w:lineRule="auto"/>
        <w:jc w:val="both"/>
        <w:rPr>
          <w:rFonts w:ascii="Century Gothic" w:hAnsi="Century Gothic"/>
          <w:b/>
        </w:rPr>
      </w:pPr>
      <w:r w:rsidRPr="008E31D4">
        <w:rPr>
          <w:rFonts w:ascii="Century Gothic" w:hAnsi="Century Gothic"/>
          <w:b/>
        </w:rPr>
        <w:t>COMPULSORY BRIEFING SESSION</w:t>
      </w:r>
    </w:p>
    <w:p w14:paraId="7A0F0137" w14:textId="2E45C10A" w:rsidR="003F08D0" w:rsidRPr="008E31D4" w:rsidRDefault="003F08D0" w:rsidP="008E31D4">
      <w:pPr>
        <w:tabs>
          <w:tab w:val="left" w:pos="864"/>
        </w:tabs>
        <w:spacing w:line="360" w:lineRule="auto"/>
        <w:jc w:val="both"/>
        <w:rPr>
          <w:rFonts w:ascii="Century Gothic" w:hAnsi="Century Gothic"/>
          <w:b/>
        </w:rPr>
      </w:pPr>
      <w:r w:rsidRPr="008E31D4">
        <w:rPr>
          <w:rFonts w:ascii="Century Gothic" w:hAnsi="Century Gothic"/>
          <w:b/>
        </w:rPr>
        <w:t>UMALUSI (23-24) T000</w:t>
      </w:r>
      <w:r w:rsidR="008E0D6B" w:rsidRPr="008E31D4">
        <w:rPr>
          <w:rFonts w:ascii="Century Gothic" w:hAnsi="Century Gothic"/>
          <w:b/>
        </w:rPr>
        <w:t>5</w:t>
      </w:r>
      <w:r w:rsidRPr="008E31D4">
        <w:rPr>
          <w:rFonts w:ascii="Century Gothic" w:hAnsi="Century Gothic"/>
          <w:b/>
        </w:rPr>
        <w:t xml:space="preserve"> </w:t>
      </w:r>
      <w:r w:rsidR="00BC3A57" w:rsidRPr="008E31D4">
        <w:rPr>
          <w:rFonts w:ascii="Century Gothic" w:hAnsi="Century Gothic"/>
          <w:b/>
        </w:rPr>
        <w:t>APPOINTMENT OF A PANEL OF TWO LEGAL FIRMS TO PROVIDE LEGAL SERVICES AND LEGAL SUPPORT TO UMALUSI FOR A PERIOD OF THREE (3) YEARS.</w:t>
      </w:r>
    </w:p>
    <w:p w14:paraId="41227038" w14:textId="2178D651" w:rsidR="003F08D0" w:rsidRPr="008E31D4" w:rsidRDefault="00BC263C" w:rsidP="008E31D4">
      <w:pPr>
        <w:tabs>
          <w:tab w:val="left" w:pos="864"/>
        </w:tabs>
        <w:spacing w:line="360" w:lineRule="auto"/>
        <w:jc w:val="both"/>
        <w:rPr>
          <w:rFonts w:ascii="Century Gothic" w:hAnsi="Century Gothic"/>
          <w:b/>
        </w:rPr>
      </w:pPr>
      <w:r w:rsidRPr="008E31D4">
        <w:rPr>
          <w:rFonts w:ascii="Century Gothic" w:hAnsi="Century Gothic"/>
          <w:b/>
        </w:rPr>
        <w:t>DATE</w:t>
      </w:r>
      <w:r w:rsidR="00670834">
        <w:rPr>
          <w:rFonts w:ascii="Century Gothic" w:hAnsi="Century Gothic"/>
          <w:b/>
        </w:rPr>
        <w:tab/>
      </w:r>
      <w:r w:rsidRPr="008E31D4">
        <w:rPr>
          <w:rFonts w:ascii="Century Gothic" w:hAnsi="Century Gothic"/>
          <w:b/>
        </w:rPr>
        <w:t>:</w:t>
      </w:r>
      <w:r w:rsidR="003F08D0" w:rsidRPr="008E31D4">
        <w:rPr>
          <w:rFonts w:ascii="Century Gothic" w:hAnsi="Century Gothic"/>
          <w:b/>
        </w:rPr>
        <w:t xml:space="preserve">  </w:t>
      </w:r>
      <w:r w:rsidR="00BC3A57" w:rsidRPr="008E31D4">
        <w:rPr>
          <w:rFonts w:ascii="Century Gothic" w:hAnsi="Century Gothic"/>
          <w:b/>
        </w:rPr>
        <w:t>09 April 2024</w:t>
      </w:r>
    </w:p>
    <w:p w14:paraId="6137E75D" w14:textId="33C293B4" w:rsidR="003F08D0" w:rsidRPr="008E31D4" w:rsidRDefault="00BC263C" w:rsidP="008E31D4">
      <w:pPr>
        <w:tabs>
          <w:tab w:val="left" w:pos="864"/>
        </w:tabs>
        <w:spacing w:line="360" w:lineRule="auto"/>
        <w:jc w:val="both"/>
        <w:rPr>
          <w:rFonts w:ascii="Century Gothic" w:hAnsi="Century Gothic"/>
          <w:b/>
        </w:rPr>
      </w:pPr>
      <w:r w:rsidRPr="008E31D4">
        <w:rPr>
          <w:rFonts w:ascii="Century Gothic" w:hAnsi="Century Gothic"/>
          <w:b/>
        </w:rPr>
        <w:t>TIME</w:t>
      </w:r>
      <w:r w:rsidR="00670834">
        <w:rPr>
          <w:rFonts w:ascii="Century Gothic" w:hAnsi="Century Gothic"/>
          <w:b/>
        </w:rPr>
        <w:tab/>
      </w:r>
      <w:r w:rsidRPr="008E31D4">
        <w:rPr>
          <w:rFonts w:ascii="Century Gothic" w:hAnsi="Century Gothic"/>
          <w:b/>
        </w:rPr>
        <w:t>:</w:t>
      </w:r>
      <w:r w:rsidR="003F08D0" w:rsidRPr="008E31D4">
        <w:rPr>
          <w:rFonts w:ascii="Century Gothic" w:hAnsi="Century Gothic"/>
          <w:b/>
        </w:rPr>
        <w:t xml:space="preserve">  10H00-11H00</w:t>
      </w:r>
    </w:p>
    <w:p w14:paraId="38B3BE84" w14:textId="4AA935A9" w:rsidR="003F08D0" w:rsidRPr="008E31D4" w:rsidRDefault="00BA21D2" w:rsidP="008E31D4">
      <w:pPr>
        <w:tabs>
          <w:tab w:val="left" w:pos="864"/>
        </w:tabs>
        <w:spacing w:line="360" w:lineRule="auto"/>
        <w:jc w:val="both"/>
        <w:rPr>
          <w:rFonts w:ascii="Century Gothic" w:hAnsi="Century Gothic"/>
          <w:b/>
        </w:rPr>
      </w:pPr>
      <w:r w:rsidRPr="008E31D4">
        <w:rPr>
          <w:rFonts w:ascii="Century Gothic" w:hAnsi="Century Gothic"/>
          <w:b/>
        </w:rPr>
        <w:t>VENUE</w:t>
      </w:r>
      <w:r w:rsidR="00670834">
        <w:rPr>
          <w:rFonts w:ascii="Century Gothic" w:hAnsi="Century Gothic"/>
          <w:b/>
        </w:rPr>
        <w:tab/>
      </w:r>
      <w:r w:rsidRPr="008E31D4">
        <w:rPr>
          <w:rFonts w:ascii="Century Gothic" w:hAnsi="Century Gothic"/>
          <w:b/>
        </w:rPr>
        <w:t>:</w:t>
      </w:r>
      <w:r w:rsidR="003F08D0" w:rsidRPr="008E31D4">
        <w:rPr>
          <w:rFonts w:ascii="Century Gothic" w:hAnsi="Century Gothic"/>
          <w:b/>
        </w:rPr>
        <w:t xml:space="preserve">  MS TEAMS</w:t>
      </w:r>
    </w:p>
    <w:tbl>
      <w:tblPr>
        <w:tblW w:w="1322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6"/>
        <w:gridCol w:w="6082"/>
      </w:tblGrid>
      <w:tr w:rsidR="00FC3046" w:rsidRPr="008E31D4" w14:paraId="635837FB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FA9D" w14:textId="77777777" w:rsidR="00FC3046" w:rsidRPr="008E31D4" w:rsidRDefault="00FC3046" w:rsidP="008E31D4">
            <w:pPr>
              <w:pStyle w:val="NormalWeb"/>
              <w:spacing w:before="0" w:after="0" w:line="360" w:lineRule="auto"/>
              <w:ind w:left="720"/>
              <w:jc w:val="both"/>
              <w:rPr>
                <w:rFonts w:ascii="Century Gothic" w:hAnsi="Century Gothic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b/>
                <w:bCs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1A01" w14:textId="77777777" w:rsidR="00FC3046" w:rsidRPr="008E31D4" w:rsidRDefault="00FC3046" w:rsidP="008E31D4">
            <w:pPr>
              <w:pStyle w:val="NormalWeb"/>
              <w:spacing w:before="0" w:after="0" w:line="360" w:lineRule="auto"/>
              <w:ind w:left="720"/>
              <w:jc w:val="both"/>
              <w:rPr>
                <w:rFonts w:ascii="Century Gothic" w:hAnsi="Century Gothic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b/>
                <w:bCs/>
                <w:color w:val="FFFFFF" w:themeColor="background1"/>
                <w:sz w:val="22"/>
                <w:szCs w:val="22"/>
              </w:rPr>
              <w:t>ANSWERS</w:t>
            </w:r>
          </w:p>
        </w:tc>
      </w:tr>
      <w:tr w:rsidR="00FC3046" w:rsidRPr="008E31D4" w14:paraId="6E5CA910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B0C" w14:textId="4E07B8E0" w:rsidR="00972117" w:rsidRPr="008E31D4" w:rsidRDefault="00DB1A75" w:rsidP="008E31D4">
            <w:pPr>
              <w:pStyle w:val="NormalWeb"/>
              <w:numPr>
                <w:ilvl w:val="0"/>
                <w:numId w:val="4"/>
              </w:numPr>
              <w:suppressAutoHyphens w:val="0"/>
              <w:autoSpaceDN/>
              <w:spacing w:beforeAutospacing="1" w:afterAutospacing="1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Style w:val="ui-provider"/>
                <w:rFonts w:ascii="Century Gothic" w:hAnsi="Century Gothic"/>
                <w:sz w:val="22"/>
                <w:szCs w:val="22"/>
              </w:rPr>
              <w:t xml:space="preserve">The bidder </w:t>
            </w:r>
            <w:r w:rsidR="00BC3A57" w:rsidRPr="008E31D4">
              <w:rPr>
                <w:rStyle w:val="ui-provider"/>
                <w:rFonts w:ascii="Century Gothic" w:hAnsi="Century Gothic"/>
                <w:sz w:val="22"/>
                <w:szCs w:val="22"/>
              </w:rPr>
              <w:t>enquire</w:t>
            </w:r>
            <w:r w:rsidRPr="008E31D4">
              <w:rPr>
                <w:rStyle w:val="ui-provider"/>
                <w:rFonts w:ascii="Century Gothic" w:hAnsi="Century Gothic"/>
                <w:sz w:val="22"/>
                <w:szCs w:val="22"/>
              </w:rPr>
              <w:t>d</w:t>
            </w:r>
            <w:r w:rsidR="00BC3A57" w:rsidRPr="008E31D4">
              <w:rPr>
                <w:rStyle w:val="ui-provider"/>
                <w:rFonts w:ascii="Century Gothic" w:hAnsi="Century Gothic"/>
                <w:sz w:val="22"/>
                <w:szCs w:val="22"/>
              </w:rPr>
              <w:t xml:space="preserve"> about</w:t>
            </w:r>
            <w:r w:rsidR="00B15FFE" w:rsidRPr="008E31D4">
              <w:rPr>
                <w:rStyle w:val="ui-provider"/>
                <w:rFonts w:ascii="Century Gothic" w:hAnsi="Century Gothic"/>
                <w:sz w:val="22"/>
                <w:szCs w:val="22"/>
              </w:rPr>
              <w:t xml:space="preserve"> the physical presence part. We are based in Eastern Cape and have a Correspondent Attorney in Gauteng. Will that suffice? If yes, what documentation will be needed?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B463" w14:textId="6D6A7E00" w:rsidR="00FC3046" w:rsidRPr="008E31D4" w:rsidRDefault="00727796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Proof must be submitted in </w:t>
            </w:r>
            <w:r w:rsidR="009D6C81">
              <w:rPr>
                <w:rFonts w:ascii="Century Gothic" w:hAnsi="Century Gothic" w:cs="Segoe UI"/>
                <w:sz w:val="22"/>
                <w:szCs w:val="22"/>
              </w:rPr>
              <w:t>the</w:t>
            </w: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 form of a lease agreement, rental office agreement, sale agreement, or municipal statement, which will be verified accordingly. The municipal statement must not be older than three (3) months after the closing date.</w:t>
            </w:r>
          </w:p>
          <w:p w14:paraId="27AB36A9" w14:textId="1026DE6A" w:rsidR="00727796" w:rsidRPr="008E31D4" w:rsidRDefault="00727796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</w:tc>
      </w:tr>
      <w:tr w:rsidR="00FC3046" w:rsidRPr="008E31D4" w14:paraId="11CD195C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7213" w14:textId="36530DEC" w:rsidR="00972117" w:rsidRPr="008E31D4" w:rsidRDefault="005355BB" w:rsidP="008E31D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</w:rPr>
            </w:pPr>
            <w:r>
              <w:rPr>
                <w:rStyle w:val="ui-provider"/>
                <w:rFonts w:ascii="Century Gothic" w:hAnsi="Century Gothic"/>
              </w:rPr>
              <w:t xml:space="preserve">The bidder indicated that it has been </w:t>
            </w:r>
            <w:r w:rsidR="005E67D7" w:rsidRPr="008E31D4">
              <w:rPr>
                <w:rStyle w:val="ui-provider"/>
                <w:rFonts w:ascii="Century Gothic" w:hAnsi="Century Gothic"/>
              </w:rPr>
              <w:t>state</w:t>
            </w:r>
            <w:r>
              <w:rPr>
                <w:rStyle w:val="ui-provider"/>
                <w:rFonts w:ascii="Century Gothic" w:hAnsi="Century Gothic"/>
              </w:rPr>
              <w:t>d</w:t>
            </w:r>
            <w:r w:rsidR="005E67D7" w:rsidRPr="008E31D4">
              <w:rPr>
                <w:rStyle w:val="ui-provider"/>
                <w:rFonts w:ascii="Century Gothic" w:hAnsi="Century Gothic"/>
              </w:rPr>
              <w:t xml:space="preserve"> that </w:t>
            </w:r>
            <w:r>
              <w:rPr>
                <w:rStyle w:val="ui-provider"/>
                <w:rFonts w:ascii="Century Gothic" w:hAnsi="Century Gothic"/>
              </w:rPr>
              <w:t>the organisation</w:t>
            </w:r>
            <w:r w:rsidR="005E67D7" w:rsidRPr="008E31D4">
              <w:rPr>
                <w:rStyle w:val="ui-provider"/>
                <w:rFonts w:ascii="Century Gothic" w:hAnsi="Century Gothic"/>
              </w:rPr>
              <w:t xml:space="preserve"> </w:t>
            </w:r>
            <w:r w:rsidR="00BA21D2" w:rsidRPr="008E31D4">
              <w:rPr>
                <w:rStyle w:val="ui-provider"/>
                <w:rFonts w:ascii="Century Gothic" w:hAnsi="Century Gothic"/>
              </w:rPr>
              <w:t>requires</w:t>
            </w:r>
            <w:r w:rsidR="005E67D7" w:rsidRPr="008E31D4">
              <w:rPr>
                <w:rStyle w:val="ui-provider"/>
                <w:rFonts w:ascii="Century Gothic" w:hAnsi="Century Gothic"/>
              </w:rPr>
              <w:t xml:space="preserve"> two (2) law firms only. Is it two law firms per practice area? Given the large number of participating law firms</w:t>
            </w:r>
            <w:r>
              <w:rPr>
                <w:rStyle w:val="ui-provider"/>
                <w:rFonts w:ascii="Century Gothic" w:hAnsi="Century Gothic"/>
              </w:rPr>
              <w:t xml:space="preserve"> or is the organisation </w:t>
            </w:r>
            <w:r w:rsidR="005E67D7" w:rsidRPr="008E31D4">
              <w:rPr>
                <w:rStyle w:val="ui-provider"/>
                <w:rFonts w:ascii="Century Gothic" w:hAnsi="Century Gothic"/>
              </w:rPr>
              <w:t xml:space="preserve">amenable to increasing the </w:t>
            </w:r>
            <w:r w:rsidR="005E67D7" w:rsidRPr="008E31D4">
              <w:rPr>
                <w:rStyle w:val="ui-provider"/>
                <w:rFonts w:ascii="Century Gothic" w:hAnsi="Century Gothic"/>
              </w:rPr>
              <w:lastRenderedPageBreak/>
              <w:t>list to a more inclusive number</w:t>
            </w:r>
            <w:r w:rsidR="00BC3A57" w:rsidRPr="008E31D4">
              <w:rPr>
                <w:rStyle w:val="ui-provider"/>
                <w:rFonts w:ascii="Century Gothic" w:hAnsi="Century Gothic"/>
              </w:rPr>
              <w:t>,</w:t>
            </w:r>
            <w:r w:rsidR="005E67D7" w:rsidRPr="008E31D4">
              <w:rPr>
                <w:rStyle w:val="ui-provider"/>
                <w:rFonts w:ascii="Century Gothic" w:hAnsi="Century Gothic"/>
              </w:rPr>
              <w:t xml:space="preserve"> ensuring that small law firms are </w:t>
            </w:r>
            <w:r>
              <w:rPr>
                <w:rStyle w:val="ui-provider"/>
                <w:rFonts w:ascii="Century Gothic" w:hAnsi="Century Gothic"/>
              </w:rPr>
              <w:t xml:space="preserve">also </w:t>
            </w:r>
            <w:r w:rsidR="005E67D7" w:rsidRPr="008E31D4">
              <w:rPr>
                <w:rStyle w:val="ui-provider"/>
                <w:rFonts w:ascii="Century Gothic" w:hAnsi="Century Gothic"/>
              </w:rPr>
              <w:t xml:space="preserve">given an opportunity?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08AA" w14:textId="4E880A1C" w:rsidR="00FC3046" w:rsidRPr="008E31D4" w:rsidRDefault="00C91B71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lastRenderedPageBreak/>
              <w:t xml:space="preserve">Umalusi requires a panel of two legal firms to provide legal services and legal support to </w:t>
            </w:r>
            <w:r w:rsidR="00BA21D2" w:rsidRPr="008E31D4">
              <w:rPr>
                <w:rFonts w:ascii="Century Gothic" w:hAnsi="Century Gothic" w:cs="Segoe UI"/>
                <w:sz w:val="22"/>
                <w:szCs w:val="22"/>
              </w:rPr>
              <w:t>Umalusi</w:t>
            </w: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 for a period of three (3) years.</w:t>
            </w:r>
          </w:p>
        </w:tc>
      </w:tr>
      <w:tr w:rsidR="00FC3046" w:rsidRPr="008E31D4" w14:paraId="6D9EC0EC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895C" w14:textId="2C559415" w:rsidR="00972117" w:rsidRPr="008E31D4" w:rsidRDefault="005355BB" w:rsidP="008E31D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Style w:val="ui-provider"/>
                <w:rFonts w:ascii="Century Gothic" w:hAnsi="Century Gothic"/>
              </w:rPr>
              <w:t xml:space="preserve">The bidders want to know </w:t>
            </w:r>
            <w:r w:rsidR="00D144E0">
              <w:rPr>
                <w:rStyle w:val="ui-provider"/>
                <w:rFonts w:ascii="Century Gothic" w:hAnsi="Century Gothic"/>
              </w:rPr>
              <w:t>if they are</w:t>
            </w:r>
            <w:r w:rsidR="007C1043" w:rsidRPr="008E31D4">
              <w:rPr>
                <w:rStyle w:val="ui-provider"/>
                <w:rFonts w:ascii="Century Gothic" w:hAnsi="Century Gothic"/>
              </w:rPr>
              <w:t xml:space="preserve"> required to present two affidavits to support specific goals assertion, one being signed by SAPS and the other being the normal EME as the case may be?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1552" w14:textId="703D44EA" w:rsidR="00FC3046" w:rsidRPr="00530A7C" w:rsidRDefault="00A94E0E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="00530A7C" w:rsidRPr="00530A7C">
              <w:rPr>
                <w:rFonts w:ascii="Century Gothic" w:hAnsi="Century Gothic" w:cs="Arial"/>
                <w:sz w:val="22"/>
                <w:szCs w:val="22"/>
              </w:rPr>
              <w:t>he tender must indicate how they claim points for each preference point system.</w:t>
            </w:r>
          </w:p>
          <w:p w14:paraId="29051696" w14:textId="77777777" w:rsidR="00B35B0E" w:rsidRPr="00BC263C" w:rsidRDefault="00B35B0E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6D6C44F8" w14:textId="29A10CF2" w:rsidR="00B35B0E" w:rsidRPr="008E31D4" w:rsidRDefault="00530A7C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BC263C">
              <w:rPr>
                <w:rFonts w:ascii="Century Gothic" w:hAnsi="Century Gothic" w:cs="Arial"/>
                <w:sz w:val="22"/>
                <w:szCs w:val="22"/>
              </w:rPr>
              <w:t>(B-BBEE status level verification certificate/</w:t>
            </w:r>
            <w:proofErr w:type="gramStart"/>
            <w:r w:rsidRPr="00BC263C">
              <w:rPr>
                <w:rFonts w:ascii="Century Gothic" w:hAnsi="Century Gothic" w:cs="Arial"/>
                <w:sz w:val="22"/>
                <w:szCs w:val="22"/>
              </w:rPr>
              <w:t>sworn affidavit</w:t>
            </w:r>
            <w:proofErr w:type="gramEnd"/>
            <w:r w:rsidRPr="00BC263C">
              <w:rPr>
                <w:rFonts w:ascii="Century Gothic" w:hAnsi="Century Gothic" w:cs="Arial"/>
                <w:sz w:val="22"/>
                <w:szCs w:val="22"/>
              </w:rPr>
              <w:t xml:space="preserve"> (for </w:t>
            </w:r>
            <w:r w:rsidR="00BC263C" w:rsidRPr="00BC263C">
              <w:rPr>
                <w:rFonts w:ascii="Century Gothic" w:hAnsi="Century Gothic" w:cs="Arial"/>
                <w:sz w:val="22"/>
                <w:szCs w:val="22"/>
              </w:rPr>
              <w:t>EME’S</w:t>
            </w:r>
            <w:r w:rsidRPr="00BC263C">
              <w:rPr>
                <w:rFonts w:ascii="Century Gothic" w:hAnsi="Century Gothic" w:cs="Arial"/>
                <w:sz w:val="22"/>
                <w:szCs w:val="22"/>
              </w:rPr>
              <w:t xml:space="preserve"> &amp; </w:t>
            </w:r>
            <w:r w:rsidR="00BC263C" w:rsidRPr="00BC263C">
              <w:rPr>
                <w:rFonts w:ascii="Century Gothic" w:hAnsi="Century Gothic" w:cs="Arial"/>
                <w:sz w:val="22"/>
                <w:szCs w:val="22"/>
              </w:rPr>
              <w:t>QSE’s</w:t>
            </w:r>
            <w:r w:rsidRPr="00BC263C">
              <w:rPr>
                <w:rFonts w:ascii="Century Gothic" w:hAnsi="Century Gothic" w:cs="Arial"/>
                <w:sz w:val="22"/>
                <w:szCs w:val="22"/>
              </w:rPr>
              <w:t xml:space="preserve">) must be submitted in order to qualify for preference point for specific goals and/or eligibility. </w:t>
            </w:r>
            <w:r w:rsidR="000B0CF3">
              <w:rPr>
                <w:rFonts w:ascii="Century Gothic" w:hAnsi="Century Gothic" w:cs="Arial"/>
                <w:sz w:val="22"/>
                <w:szCs w:val="22"/>
              </w:rPr>
              <w:t>O</w:t>
            </w:r>
            <w:r w:rsidRPr="00BC263C">
              <w:rPr>
                <w:rFonts w:ascii="Century Gothic" w:hAnsi="Century Gothic" w:cs="Arial"/>
                <w:sz w:val="22"/>
                <w:szCs w:val="22"/>
              </w:rPr>
              <w:t xml:space="preserve">nly an original or certified copy is acceptable. </w:t>
            </w:r>
            <w:r w:rsidR="000B0CF3">
              <w:rPr>
                <w:rFonts w:ascii="Century Gothic" w:hAnsi="Century Gothic" w:cs="Arial"/>
                <w:sz w:val="22"/>
                <w:szCs w:val="22"/>
              </w:rPr>
              <w:t>A</w:t>
            </w:r>
            <w:r w:rsidRPr="00BC263C">
              <w:rPr>
                <w:rFonts w:ascii="Century Gothic" w:hAnsi="Century Gothic" w:cs="Arial"/>
                <w:sz w:val="22"/>
                <w:szCs w:val="22"/>
              </w:rPr>
              <w:t xml:space="preserve"> certified disability certificate must be submitted to claim/qualify for disability points.</w:t>
            </w:r>
          </w:p>
        </w:tc>
      </w:tr>
      <w:tr w:rsidR="00FC3046" w:rsidRPr="008E31D4" w14:paraId="42056D70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4717" w14:textId="0E7DC85B" w:rsidR="00972117" w:rsidRPr="008E31D4" w:rsidRDefault="00D72523" w:rsidP="008E31D4">
            <w:pPr>
              <w:pStyle w:val="NormalWeb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>Unde</w:t>
            </w:r>
            <w:r w:rsidR="00DF54D5" w:rsidRPr="008E31D4">
              <w:rPr>
                <w:rFonts w:ascii="Century Gothic" w:hAnsi="Century Gothic" w:cs="Segoe UI"/>
                <w:sz w:val="22"/>
                <w:szCs w:val="22"/>
              </w:rPr>
              <w:t>r</w:t>
            </w: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 Phase 3- Selection Criteria</w:t>
            </w:r>
            <w:r w:rsidR="00DF54D5" w:rsidRPr="008E31D4">
              <w:rPr>
                <w:rFonts w:ascii="Century Gothic" w:hAnsi="Century Gothic" w:cs="Segoe UI"/>
                <w:sz w:val="22"/>
                <w:szCs w:val="22"/>
              </w:rPr>
              <w:t xml:space="preserve"> - </w:t>
            </w:r>
            <w:r w:rsidR="001F4EC1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Experience of the law firm in Civil Litigation</w:t>
            </w:r>
          </w:p>
          <w:p w14:paraId="6507A17A" w14:textId="442A9A14" w:rsidR="00DF54D5" w:rsidRPr="008E31D4" w:rsidRDefault="00D144E0" w:rsidP="008E31D4">
            <w:pPr>
              <w:pStyle w:val="NormalWeb"/>
              <w:spacing w:line="360" w:lineRule="auto"/>
              <w:ind w:left="360"/>
              <w:jc w:val="both"/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DF54D5" w:rsidRPr="008E31D4">
              <w:rPr>
                <w:rFonts w:ascii="Century Gothic" w:hAnsi="Century Gothic" w:cs="Segoe UI"/>
                <w:sz w:val="22"/>
                <w:szCs w:val="22"/>
              </w:rPr>
              <w:t xml:space="preserve">Does Umalusi </w:t>
            </w:r>
            <w:r w:rsidR="00800810" w:rsidRPr="008E31D4">
              <w:rPr>
                <w:rFonts w:ascii="Century Gothic" w:hAnsi="Century Gothic" w:cs="Segoe UI"/>
                <w:sz w:val="22"/>
                <w:szCs w:val="22"/>
              </w:rPr>
              <w:t>require both</w:t>
            </w:r>
            <w:r w:rsidR="004C1498" w:rsidRPr="008E31D4">
              <w:rPr>
                <w:rFonts w:ascii="Century Gothic" w:hAnsi="Century Gothic" w:cs="Segoe UI"/>
                <w:sz w:val="22"/>
                <w:szCs w:val="22"/>
              </w:rPr>
              <w:t xml:space="preserve"> the </w:t>
            </w:r>
            <w:r w:rsidR="007F66D7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Partner(s)</w:t>
            </w:r>
            <w:r w:rsidR="007F66D7" w:rsidRPr="008E31D4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and/or one </w:t>
            </w:r>
            <w:r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</w:t>
            </w:r>
            <w:r>
              <w:rPr>
                <w:rFonts w:cs="Segoe UI"/>
                <w:lang w:val="en-US"/>
              </w:rPr>
              <w:t xml:space="preserve">    </w:t>
            </w:r>
            <w:r w:rsidR="007F66D7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Director(s)</w:t>
            </w:r>
            <w:r w:rsidR="007F66D7" w:rsidRPr="008E31D4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must have a minimum of </w:t>
            </w:r>
            <w:r w:rsidR="007F66D7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seven</w:t>
            </w:r>
            <w:r w:rsidR="007F66D7" w:rsidRPr="008E31D4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</w:t>
            </w:r>
            <w:r w:rsidR="007F66D7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(7) years</w:t>
            </w:r>
            <w:r w:rsidR="007F66D7" w:rsidRPr="008E31D4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post-admission experience in </w:t>
            </w:r>
            <w:r w:rsidR="007F66D7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Civil</w:t>
            </w:r>
            <w:r w:rsidR="007F66D7" w:rsidRPr="008E31D4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</w:t>
            </w:r>
            <w:r w:rsidR="007F66D7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Litigation</w:t>
            </w:r>
            <w:r w:rsidR="00E26BD8" w:rsidRPr="008E31D4"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  <w:t>?</w:t>
            </w:r>
          </w:p>
          <w:p w14:paraId="310A93AF" w14:textId="1AE4F0A7" w:rsidR="007F66D7" w:rsidRPr="008E31D4" w:rsidRDefault="007F66D7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b/>
                <w:bCs/>
                <w:sz w:val="22"/>
                <w:szCs w:val="22"/>
                <w:lang w:val="en-US"/>
              </w:rPr>
            </w:pPr>
          </w:p>
          <w:p w14:paraId="7E5C0E0C" w14:textId="452D4C31" w:rsidR="00DF54D5" w:rsidRPr="008E31D4" w:rsidRDefault="00DF54D5" w:rsidP="008E31D4">
            <w:pPr>
              <w:pStyle w:val="NormalWeb"/>
              <w:spacing w:line="360" w:lineRule="auto"/>
              <w:ind w:left="360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E6F0" w14:textId="77777777" w:rsidR="00FC3046" w:rsidRPr="008E31D4" w:rsidRDefault="005A131E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At least one should have </w:t>
            </w:r>
            <w:r w:rsidR="00966141" w:rsidRPr="008E31D4">
              <w:rPr>
                <w:rFonts w:ascii="Century Gothic" w:hAnsi="Century Gothic" w:cs="Segoe UI"/>
                <w:sz w:val="22"/>
                <w:szCs w:val="22"/>
              </w:rPr>
              <w:t>the experience of the law firm in Civil litigation.</w:t>
            </w:r>
          </w:p>
          <w:p w14:paraId="36BF061D" w14:textId="77777777" w:rsidR="00966141" w:rsidRPr="008E31D4" w:rsidRDefault="0096614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7EEF51F7" w14:textId="77777777" w:rsidR="00966141" w:rsidRPr="008E31D4" w:rsidRDefault="0096614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3144C9C7" w14:textId="77777777" w:rsidR="005F0681" w:rsidRPr="008E31D4" w:rsidRDefault="005F068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3CBADFF3" w14:textId="77777777" w:rsidR="005F0681" w:rsidRPr="008E31D4" w:rsidRDefault="005F068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2C93ED5A" w14:textId="6DCC8F49" w:rsidR="005F0681" w:rsidRPr="008E31D4" w:rsidRDefault="005F068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</w:tc>
      </w:tr>
      <w:tr w:rsidR="00CA67A6" w:rsidRPr="008E31D4" w14:paraId="57CDB27A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992C" w14:textId="73890CE3" w:rsidR="00AF51B2" w:rsidRPr="008E31D4" w:rsidRDefault="000078D0" w:rsidP="008E31D4">
            <w:pPr>
              <w:pStyle w:val="NormalWeb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lastRenderedPageBreak/>
              <w:t xml:space="preserve">The bidder wanted to know </w:t>
            </w:r>
            <w:r w:rsidR="00300499" w:rsidRPr="008E31D4">
              <w:rPr>
                <w:rFonts w:ascii="Century Gothic" w:hAnsi="Century Gothic" w:cs="Segoe UI"/>
                <w:sz w:val="22"/>
                <w:szCs w:val="22"/>
              </w:rPr>
              <w:t>if a</w:t>
            </w:r>
            <w:r w:rsidR="00CA67A6" w:rsidRPr="008E31D4">
              <w:rPr>
                <w:rFonts w:ascii="Century Gothic" w:hAnsi="Century Gothic" w:cs="Segoe UI"/>
                <w:sz w:val="22"/>
                <w:szCs w:val="22"/>
              </w:rPr>
              <w:t xml:space="preserve"> Lead Attorney must have the Right of Appearance in the High Court of South </w:t>
            </w:r>
            <w:r w:rsidR="00BC263C" w:rsidRPr="008E31D4">
              <w:rPr>
                <w:rFonts w:ascii="Century Gothic" w:hAnsi="Century Gothic" w:cs="Segoe UI"/>
                <w:sz w:val="22"/>
                <w:szCs w:val="22"/>
              </w:rPr>
              <w:t>Africa.</w:t>
            </w:r>
          </w:p>
          <w:p w14:paraId="52734735" w14:textId="1B608F5D" w:rsidR="00CA67A6" w:rsidRPr="008E31D4" w:rsidRDefault="00CA67A6" w:rsidP="008E31D4">
            <w:pPr>
              <w:pStyle w:val="NormalWeb"/>
              <w:spacing w:line="360" w:lineRule="auto"/>
              <w:ind w:left="360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9040" w14:textId="339F6D7F" w:rsidR="00CA67A6" w:rsidRPr="008E31D4" w:rsidRDefault="00DE5A8C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>Yes, it is</w:t>
            </w:r>
            <w:r w:rsidR="00CA67A6" w:rsidRPr="008E31D4">
              <w:rPr>
                <w:rFonts w:ascii="Century Gothic" w:hAnsi="Century Gothic" w:cs="Segoe UI"/>
                <w:sz w:val="22"/>
                <w:szCs w:val="22"/>
              </w:rPr>
              <w:t xml:space="preserve"> a requirement</w:t>
            </w: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 as per the terms of reference.</w:t>
            </w:r>
          </w:p>
        </w:tc>
      </w:tr>
      <w:tr w:rsidR="00FC3046" w:rsidRPr="008E31D4" w14:paraId="5CFDAB99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AEF9" w14:textId="6C1CF0B6" w:rsidR="00F55E0E" w:rsidRPr="00F55E0E" w:rsidRDefault="00551921" w:rsidP="00357B23">
            <w:pPr>
              <w:pStyle w:val="NormalWeb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>
              <w:rPr>
                <w:rFonts w:ascii="Century Gothic" w:hAnsi="Century Gothic" w:cs="Segoe UI"/>
                <w:sz w:val="22"/>
                <w:szCs w:val="22"/>
              </w:rPr>
              <w:t xml:space="preserve">The bidder </w:t>
            </w:r>
            <w:r w:rsidR="00C04075">
              <w:rPr>
                <w:rFonts w:ascii="Century Gothic" w:hAnsi="Century Gothic" w:cs="Segoe UI"/>
                <w:sz w:val="22"/>
                <w:szCs w:val="22"/>
              </w:rPr>
              <w:t xml:space="preserve">requested </w:t>
            </w:r>
            <w:r w:rsidR="00642EBE">
              <w:rPr>
                <w:rFonts w:ascii="Century Gothic" w:hAnsi="Century Gothic" w:cs="Segoe UI"/>
                <w:sz w:val="22"/>
                <w:szCs w:val="22"/>
              </w:rPr>
              <w:t xml:space="preserve">for </w:t>
            </w:r>
            <w:r w:rsidR="00C04075">
              <w:rPr>
                <w:rFonts w:ascii="Century Gothic" w:hAnsi="Century Gothic" w:cs="Segoe UI"/>
                <w:sz w:val="22"/>
                <w:szCs w:val="22"/>
              </w:rPr>
              <w:t xml:space="preserve">clarity </w:t>
            </w:r>
            <w:r>
              <w:rPr>
                <w:rFonts w:ascii="Century Gothic" w:hAnsi="Century Gothic" w:cs="Segoe UI"/>
                <w:sz w:val="22"/>
                <w:szCs w:val="22"/>
              </w:rPr>
              <w:t>u</w:t>
            </w:r>
            <w:r w:rsidR="00D12001" w:rsidRPr="008E31D4">
              <w:rPr>
                <w:rFonts w:ascii="Century Gothic" w:hAnsi="Century Gothic" w:cs="Segoe UI"/>
                <w:sz w:val="22"/>
                <w:szCs w:val="22"/>
              </w:rPr>
              <w:t xml:space="preserve">nder Phase 2 </w:t>
            </w:r>
            <w:r>
              <w:rPr>
                <w:rFonts w:ascii="Century Gothic" w:hAnsi="Century Gothic" w:cs="Segoe UI"/>
                <w:sz w:val="22"/>
                <w:szCs w:val="22"/>
              </w:rPr>
              <w:t>–</w:t>
            </w:r>
            <w:r w:rsidR="00D12001" w:rsidRPr="008E31D4">
              <w:rPr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D12001" w:rsidRPr="00551921">
              <w:rPr>
                <w:rFonts w:ascii="Century Gothic" w:hAnsi="Century Gothic" w:cs="Segoe UI"/>
                <w:sz w:val="22"/>
                <w:szCs w:val="22"/>
                <w:lang w:val="en-US"/>
              </w:rPr>
              <w:t>Mandatory</w:t>
            </w:r>
            <w:r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</w:t>
            </w:r>
            <w:r w:rsidR="00D12001" w:rsidRPr="00551921">
              <w:rPr>
                <w:rFonts w:ascii="Century Gothic" w:hAnsi="Century Gothic" w:cs="Segoe UI"/>
                <w:sz w:val="22"/>
                <w:szCs w:val="22"/>
                <w:lang w:val="en-US"/>
              </w:rPr>
              <w:t>criteria</w:t>
            </w:r>
            <w:r w:rsidR="00642EBE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is it a must </w:t>
            </w:r>
            <w:r w:rsidR="00BC263C">
              <w:rPr>
                <w:rFonts w:ascii="Century Gothic" w:hAnsi="Century Gothic" w:cs="Segoe UI"/>
                <w:sz w:val="22"/>
                <w:szCs w:val="22"/>
                <w:lang w:val="en-US"/>
              </w:rPr>
              <w:t>that they</w:t>
            </w:r>
            <w:r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</w:t>
            </w:r>
            <w:r w:rsidR="001D4B26" w:rsidRPr="00551921">
              <w:rPr>
                <w:rFonts w:ascii="Century Gothic" w:hAnsi="Century Gothic" w:cs="Segoe UI"/>
                <w:sz w:val="22"/>
                <w:szCs w:val="22"/>
                <w:lang w:val="en-US"/>
              </w:rPr>
              <w:t>have a physical presence in Gauteng Province in the form of a site/branch or partnership arrangement/ working relationship with a firm based in Gauteng Province.</w:t>
            </w:r>
            <w:r w:rsidR="00357B23" w:rsidRPr="00E74215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 </w:t>
            </w:r>
          </w:p>
          <w:p w14:paraId="6544300F" w14:textId="7799C7E6" w:rsidR="001D4B26" w:rsidRPr="00357B23" w:rsidRDefault="00357B23" w:rsidP="00F55E0E">
            <w:pPr>
              <w:pStyle w:val="NormalWeb"/>
              <w:spacing w:line="360" w:lineRule="auto"/>
              <w:ind w:left="644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E74215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Will </w:t>
            </w:r>
            <w:r w:rsidR="00BC263C" w:rsidRPr="00E74215">
              <w:rPr>
                <w:rFonts w:ascii="Century Gothic" w:hAnsi="Century Gothic" w:cs="Segoe UI"/>
                <w:sz w:val="22"/>
                <w:szCs w:val="22"/>
                <w:lang w:val="en-US"/>
              </w:rPr>
              <w:t>a</w:t>
            </w:r>
            <w:r w:rsidR="007A1CDE" w:rsidRPr="00E74215">
              <w:rPr>
                <w:rFonts w:ascii="Century Gothic" w:hAnsi="Century Gothic" w:cs="Segoe UI"/>
                <w:sz w:val="22"/>
                <w:szCs w:val="22"/>
              </w:rPr>
              <w:t xml:space="preserve"> letter from the landlord or a rental invoice suffice</w:t>
            </w:r>
            <w:r w:rsidRPr="00E74215">
              <w:rPr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BC263C" w:rsidRPr="00E74215">
              <w:rPr>
                <w:rFonts w:ascii="Century Gothic" w:hAnsi="Century Gothic" w:cs="Segoe UI"/>
                <w:sz w:val="22"/>
                <w:szCs w:val="22"/>
              </w:rPr>
              <w:t>as some</w:t>
            </w:r>
            <w:r w:rsidR="007A1CDE" w:rsidRPr="00E74215">
              <w:rPr>
                <w:rFonts w:ascii="Century Gothic" w:hAnsi="Century Gothic" w:cs="Segoe UI"/>
                <w:sz w:val="22"/>
                <w:szCs w:val="22"/>
              </w:rPr>
              <w:t xml:space="preserve"> of the lease agreements are very thick and contain sensitive information</w:t>
            </w:r>
            <w:r w:rsidR="00E74215">
              <w:rPr>
                <w:rFonts w:ascii="Century Gothic" w:hAnsi="Century Gothic" w:cs="Segoe UI"/>
                <w:sz w:val="22"/>
                <w:szCs w:val="22"/>
              </w:rPr>
              <w:t>?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46F8" w14:textId="77777777" w:rsidR="00EA2091" w:rsidRPr="008E31D4" w:rsidRDefault="00EA2091" w:rsidP="008E31D4">
            <w:pPr>
              <w:pStyle w:val="NormalWeb"/>
              <w:spacing w:before="0" w:after="0"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>Proof must be submitted in the form of a lease agreement, rental office agreement, sale agreement, or municipal statement, which will be verified accordingly. The municipal statement must not be older than three (3) months after the closing date.</w:t>
            </w:r>
          </w:p>
          <w:p w14:paraId="1470112A" w14:textId="77777777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397EA648" w14:textId="77777777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726167AC" w14:textId="77777777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45CAB0DD" w14:textId="77777777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0CCB8F42" w14:textId="77777777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53A1A49C" w14:textId="77777777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37EE1AB5" w14:textId="77777777" w:rsidR="00EA2091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17780405" w14:textId="77777777" w:rsidR="0016554D" w:rsidRPr="008E31D4" w:rsidRDefault="0016554D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03F4AF81" w14:textId="68AB4A4C" w:rsidR="00EA2091" w:rsidRPr="008E31D4" w:rsidRDefault="00EA2091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</w:p>
        </w:tc>
      </w:tr>
      <w:tr w:rsidR="00FC3046" w:rsidRPr="008E31D4" w14:paraId="30E2384D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2640" w14:textId="60CF8B20" w:rsidR="00972117" w:rsidRPr="0016554D" w:rsidRDefault="00E74215" w:rsidP="008E31D4">
            <w:pPr>
              <w:pStyle w:val="NormalWeb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</w:rPr>
              <w:lastRenderedPageBreak/>
              <w:t xml:space="preserve">The bidder </w:t>
            </w:r>
            <w:r w:rsidR="00BC263C" w:rsidRPr="0016554D">
              <w:rPr>
                <w:rFonts w:ascii="Century Gothic" w:hAnsi="Century Gothic" w:cs="Segoe UI"/>
                <w:sz w:val="22"/>
                <w:szCs w:val="22"/>
              </w:rPr>
              <w:t>wants</w:t>
            </w:r>
            <w:r w:rsidRPr="0016554D">
              <w:rPr>
                <w:rFonts w:ascii="Century Gothic" w:hAnsi="Century Gothic" w:cs="Segoe UI"/>
                <w:sz w:val="22"/>
                <w:szCs w:val="22"/>
              </w:rPr>
              <w:t xml:space="preserve"> to know u</w:t>
            </w:r>
            <w:r w:rsidR="00E10DA5" w:rsidRPr="0016554D">
              <w:rPr>
                <w:rFonts w:ascii="Century Gothic" w:hAnsi="Century Gothic" w:cs="Segoe UI"/>
                <w:sz w:val="22"/>
                <w:szCs w:val="22"/>
              </w:rPr>
              <w:t>nder Phase 3- Selection Criteria</w:t>
            </w:r>
            <w:r w:rsidR="00B6142E" w:rsidRPr="0016554D">
              <w:rPr>
                <w:rFonts w:ascii="Century Gothic" w:hAnsi="Century Gothic" w:cs="Segoe UI"/>
                <w:sz w:val="22"/>
                <w:szCs w:val="22"/>
              </w:rPr>
              <w:t xml:space="preserve"> -Track record of the law </w:t>
            </w:r>
            <w:r w:rsidR="00BC263C" w:rsidRPr="0016554D">
              <w:rPr>
                <w:rFonts w:ascii="Century Gothic" w:hAnsi="Century Gothic" w:cs="Segoe UI"/>
                <w:sz w:val="22"/>
                <w:szCs w:val="22"/>
              </w:rPr>
              <w:t>firm.</w:t>
            </w:r>
          </w:p>
          <w:p w14:paraId="0DA3C1F9" w14:textId="77777777" w:rsidR="00CA3404" w:rsidRPr="0016554D" w:rsidRDefault="00CA3404" w:rsidP="008E31D4">
            <w:pPr>
              <w:pStyle w:val="NormalWeb"/>
              <w:spacing w:line="360" w:lineRule="auto"/>
              <w:ind w:left="360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  <w:lang w:val="en-US"/>
              </w:rPr>
              <w:t>Summary of judgment(s)/evidence of the firm’s engagement for services rendered in the past 7 years in the following areas:</w:t>
            </w:r>
          </w:p>
          <w:p w14:paraId="5E553157" w14:textId="1F3D8E53" w:rsidR="00CA3404" w:rsidRPr="0016554D" w:rsidRDefault="00CA3404" w:rsidP="008E31D4">
            <w:pPr>
              <w:pStyle w:val="NormalWeb"/>
              <w:numPr>
                <w:ilvl w:val="1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Corporate &amp; Commercial law </w:t>
            </w:r>
          </w:p>
          <w:p w14:paraId="0552C62D" w14:textId="77777777" w:rsidR="00CA3404" w:rsidRPr="0016554D" w:rsidRDefault="00CA3404" w:rsidP="008E31D4">
            <w:pPr>
              <w:pStyle w:val="NormalWeb"/>
              <w:numPr>
                <w:ilvl w:val="1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  <w:lang w:val="en-US"/>
              </w:rPr>
              <w:t>Constitutional Law</w:t>
            </w:r>
          </w:p>
          <w:p w14:paraId="53897195" w14:textId="77777777" w:rsidR="00CA3404" w:rsidRPr="0016554D" w:rsidRDefault="00CA3404" w:rsidP="008E31D4">
            <w:pPr>
              <w:pStyle w:val="NormalWeb"/>
              <w:numPr>
                <w:ilvl w:val="1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  <w:lang w:val="en-US"/>
              </w:rPr>
              <w:t xml:space="preserve">Administrative Law </w:t>
            </w:r>
          </w:p>
          <w:p w14:paraId="5AD734AC" w14:textId="77777777" w:rsidR="00CA3404" w:rsidRPr="0016554D" w:rsidRDefault="00CA3404" w:rsidP="008E31D4">
            <w:pPr>
              <w:pStyle w:val="NormalWeb"/>
              <w:numPr>
                <w:ilvl w:val="1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  <w:lang w:val="en-US"/>
              </w:rPr>
              <w:t>Education Law</w:t>
            </w:r>
          </w:p>
          <w:p w14:paraId="0AACEE38" w14:textId="1B9B2FCC" w:rsidR="00CA3404" w:rsidRPr="0016554D" w:rsidRDefault="00CA3404" w:rsidP="00026F45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</w:rPr>
              <w:t>Wha</w:t>
            </w:r>
            <w:r w:rsidR="007D0BA3" w:rsidRPr="0016554D">
              <w:rPr>
                <w:rFonts w:ascii="Century Gothic" w:hAnsi="Century Gothic" w:cs="Segoe UI"/>
                <w:sz w:val="22"/>
                <w:szCs w:val="22"/>
              </w:rPr>
              <w:t xml:space="preserve">t kind of </w:t>
            </w:r>
            <w:r w:rsidR="0064565F" w:rsidRPr="0016554D">
              <w:rPr>
                <w:rFonts w:ascii="Century Gothic" w:hAnsi="Century Gothic" w:cs="Segoe UI"/>
                <w:sz w:val="22"/>
                <w:szCs w:val="22"/>
              </w:rPr>
              <w:t>judgments should be submitted, and in what format, for example, will a letter of appointment, award, legal opinion, etc suffice?</w:t>
            </w:r>
            <w:r w:rsidR="00E74215" w:rsidRPr="0016554D">
              <w:rPr>
                <w:rFonts w:ascii="Century Gothic" w:hAnsi="Century Gothic" w:cs="Segoe UI"/>
                <w:sz w:val="22"/>
                <w:szCs w:val="22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8175" w14:textId="7702873E" w:rsidR="00FC3046" w:rsidRPr="0016554D" w:rsidRDefault="00F5194D" w:rsidP="008E31D4">
            <w:pPr>
              <w:pStyle w:val="NormalWeb"/>
              <w:tabs>
                <w:tab w:val="left" w:pos="1269"/>
              </w:tabs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16554D">
              <w:rPr>
                <w:rFonts w:ascii="Century Gothic" w:hAnsi="Century Gothic" w:cs="Segoe UI"/>
                <w:sz w:val="22"/>
                <w:szCs w:val="22"/>
              </w:rPr>
              <w:t>The following documents will be accepted</w:t>
            </w:r>
            <w:r w:rsidR="001C3C81" w:rsidRPr="0016554D">
              <w:rPr>
                <w:rFonts w:ascii="Century Gothic" w:hAnsi="Century Gothic" w:cs="Segoe UI"/>
                <w:sz w:val="22"/>
                <w:szCs w:val="22"/>
              </w:rPr>
              <w:t>,</w:t>
            </w:r>
            <w:r w:rsidRPr="0016554D">
              <w:rPr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EA2091" w:rsidRPr="0016554D">
              <w:rPr>
                <w:rFonts w:ascii="Century Gothic" w:hAnsi="Century Gothic" w:cs="Segoe UI"/>
                <w:sz w:val="22"/>
                <w:szCs w:val="22"/>
              </w:rPr>
              <w:t xml:space="preserve">letter of </w:t>
            </w:r>
            <w:r w:rsidRPr="0016554D">
              <w:rPr>
                <w:rFonts w:ascii="Century Gothic" w:hAnsi="Century Gothic" w:cs="Segoe UI"/>
                <w:sz w:val="22"/>
                <w:szCs w:val="22"/>
              </w:rPr>
              <w:t>appointment, award, legal opinion</w:t>
            </w:r>
            <w:r w:rsidR="001C3C81" w:rsidRPr="0016554D">
              <w:rPr>
                <w:rFonts w:ascii="Century Gothic" w:hAnsi="Century Gothic" w:cs="Segoe UI"/>
                <w:sz w:val="22"/>
                <w:szCs w:val="22"/>
              </w:rPr>
              <w:t>.</w:t>
            </w:r>
            <w:r w:rsidRPr="0016554D">
              <w:rPr>
                <w:rFonts w:ascii="Century Gothic" w:hAnsi="Century Gothic" w:cs="Segoe UI"/>
                <w:sz w:val="22"/>
                <w:szCs w:val="22"/>
              </w:rPr>
              <w:t xml:space="preserve">  </w:t>
            </w:r>
          </w:p>
        </w:tc>
      </w:tr>
      <w:tr w:rsidR="00FC3046" w:rsidRPr="008E31D4" w14:paraId="787A38B9" w14:textId="77777777" w:rsidTr="00800810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5F3F" w14:textId="5E7FC2EE" w:rsidR="002E3509" w:rsidRPr="003A5977" w:rsidRDefault="00D144E0" w:rsidP="003A59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  <w:b/>
                <w:bCs/>
              </w:rPr>
            </w:pPr>
            <w:r w:rsidRPr="003A5977">
              <w:rPr>
                <w:rFonts w:ascii="Century Gothic" w:hAnsi="Century Gothic" w:cs="Segoe UI"/>
              </w:rPr>
              <w:t xml:space="preserve">The bidder </w:t>
            </w:r>
            <w:r w:rsidR="00BC263C" w:rsidRPr="003A5977">
              <w:rPr>
                <w:rFonts w:ascii="Century Gothic" w:hAnsi="Century Gothic" w:cs="Segoe UI"/>
              </w:rPr>
              <w:t>wants</w:t>
            </w:r>
            <w:r w:rsidRPr="003A5977">
              <w:rPr>
                <w:rFonts w:ascii="Century Gothic" w:hAnsi="Century Gothic" w:cs="Segoe UI"/>
              </w:rPr>
              <w:t xml:space="preserve"> to know </w:t>
            </w:r>
            <w:r w:rsidR="00BC263C" w:rsidRPr="003A5977">
              <w:rPr>
                <w:rFonts w:ascii="Century Gothic" w:hAnsi="Century Gothic" w:cs="Segoe UI"/>
              </w:rPr>
              <w:t>if Umalusi</w:t>
            </w:r>
            <w:r w:rsidR="002E3509" w:rsidRPr="003A5977">
              <w:rPr>
                <w:rFonts w:ascii="Century Gothic" w:hAnsi="Century Gothic" w:cs="Segoe UI"/>
              </w:rPr>
              <w:t xml:space="preserve"> </w:t>
            </w:r>
            <w:r w:rsidRPr="003A5977">
              <w:rPr>
                <w:rFonts w:ascii="Century Gothic" w:hAnsi="Century Gothic" w:cs="Segoe UI"/>
              </w:rPr>
              <w:t xml:space="preserve">will </w:t>
            </w:r>
            <w:r w:rsidR="002E3509" w:rsidRPr="003A5977">
              <w:rPr>
                <w:rFonts w:ascii="Century Gothic" w:hAnsi="Century Gothic" w:cs="Segoe UI"/>
              </w:rPr>
              <w:t>consider entering</w:t>
            </w:r>
            <w:r w:rsidR="00D45DAC" w:rsidRPr="003A5977">
              <w:rPr>
                <w:rFonts w:ascii="Century Gothic" w:hAnsi="Century Gothic" w:cs="Segoe UI"/>
              </w:rPr>
              <w:t xml:space="preserve">/awarding the contract to a firm that </w:t>
            </w:r>
            <w:r w:rsidR="00CB3DA9" w:rsidRPr="003A5977">
              <w:rPr>
                <w:rFonts w:ascii="Century Gothic" w:hAnsi="Century Gothic" w:cs="Segoe UI"/>
              </w:rPr>
              <w:t xml:space="preserve">is </w:t>
            </w:r>
            <w:r w:rsidR="008F7AF7" w:rsidRPr="003A5977">
              <w:rPr>
                <w:rFonts w:ascii="Century Gothic" w:hAnsi="Century Gothic" w:cs="Segoe UI"/>
              </w:rPr>
              <w:t>non-tax</w:t>
            </w:r>
            <w:r w:rsidR="00CB3DA9" w:rsidRPr="003A5977">
              <w:rPr>
                <w:rFonts w:ascii="Century Gothic" w:hAnsi="Century Gothic" w:cs="Segoe UI"/>
              </w:rPr>
              <w:t xml:space="preserve"> compliant but </w:t>
            </w:r>
            <w:r w:rsidR="00D45DAC" w:rsidRPr="003A5977">
              <w:rPr>
                <w:rFonts w:ascii="Century Gothic" w:hAnsi="Century Gothic" w:cs="Segoe UI"/>
              </w:rPr>
              <w:t>currently has an arrangement/agreement with SARS to update their tax affairs?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C556" w14:textId="09BD9901" w:rsidR="00FC3046" w:rsidRPr="008E31D4" w:rsidRDefault="00145C3E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No, Umalusi will not </w:t>
            </w:r>
            <w:r w:rsidR="00BC263C" w:rsidRPr="008E31D4">
              <w:rPr>
                <w:rFonts w:ascii="Century Gothic" w:hAnsi="Century Gothic" w:cs="Segoe UI"/>
                <w:sz w:val="22"/>
                <w:szCs w:val="22"/>
              </w:rPr>
              <w:t>enter</w:t>
            </w:r>
            <w:r w:rsidR="00D378E6" w:rsidRPr="008E31D4">
              <w:rPr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Pr="008E31D4">
              <w:rPr>
                <w:rFonts w:ascii="Century Gothic" w:hAnsi="Century Gothic" w:cs="Segoe UI"/>
                <w:sz w:val="22"/>
                <w:szCs w:val="22"/>
              </w:rPr>
              <w:t>business with a firm whose non-tax compliant as per</w:t>
            </w:r>
            <w:r w:rsidR="0047724B" w:rsidRPr="008E31D4">
              <w:rPr>
                <w:rFonts w:ascii="Century Gothic" w:hAnsi="Century Gothic" w:cs="Segoe UI"/>
                <w:sz w:val="22"/>
                <w:szCs w:val="22"/>
              </w:rPr>
              <w:t xml:space="preserve"> National Treasury instruction note no. 3 of 2014/15 paragraph 2.2.</w:t>
            </w:r>
          </w:p>
        </w:tc>
      </w:tr>
      <w:tr w:rsidR="008F7AF7" w:rsidRPr="008E31D4" w14:paraId="76A78EBE" w14:textId="77777777" w:rsidTr="00790BB3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EE1" w14:textId="0BEF4AD4" w:rsidR="008F7AF7" w:rsidRPr="008E31D4" w:rsidRDefault="00D144E0" w:rsidP="008E31D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t xml:space="preserve">The </w:t>
            </w:r>
            <w:r w:rsidR="00527A51" w:rsidRPr="008E31D4">
              <w:rPr>
                <w:rFonts w:ascii="Century Gothic" w:hAnsi="Century Gothic" w:cs="Segoe UI"/>
              </w:rPr>
              <w:t>bidder</w:t>
            </w:r>
            <w:r>
              <w:rPr>
                <w:rFonts w:ascii="Century Gothic" w:hAnsi="Century Gothic" w:cs="Segoe UI"/>
              </w:rPr>
              <w:t xml:space="preserve"> </w:t>
            </w:r>
            <w:r w:rsidR="00BC263C">
              <w:rPr>
                <w:rFonts w:ascii="Century Gothic" w:hAnsi="Century Gothic" w:cs="Segoe UI"/>
              </w:rPr>
              <w:t>wants</w:t>
            </w:r>
            <w:r>
              <w:rPr>
                <w:rFonts w:ascii="Century Gothic" w:hAnsi="Century Gothic" w:cs="Segoe UI"/>
              </w:rPr>
              <w:t xml:space="preserve"> to know if they </w:t>
            </w:r>
            <w:r w:rsidR="00BC263C">
              <w:rPr>
                <w:rFonts w:ascii="Century Gothic" w:hAnsi="Century Gothic" w:cs="Segoe UI"/>
              </w:rPr>
              <w:t xml:space="preserve">are </w:t>
            </w:r>
            <w:r w:rsidR="00BC263C" w:rsidRPr="008E31D4">
              <w:rPr>
                <w:rFonts w:ascii="Century Gothic" w:hAnsi="Century Gothic" w:cs="Segoe UI"/>
              </w:rPr>
              <w:t>expected</w:t>
            </w:r>
            <w:r w:rsidR="00527A51" w:rsidRPr="008E31D4">
              <w:rPr>
                <w:rFonts w:ascii="Century Gothic" w:hAnsi="Century Gothic" w:cs="Segoe UI"/>
              </w:rPr>
              <w:t xml:space="preserve"> to bid on all categories or can they only bid on those</w:t>
            </w:r>
            <w:r w:rsidR="00021E76">
              <w:rPr>
                <w:rFonts w:ascii="Century Gothic" w:hAnsi="Century Gothic" w:cs="Segoe UI"/>
              </w:rPr>
              <w:t xml:space="preserve"> categories</w:t>
            </w:r>
            <w:r w:rsidR="00527A51" w:rsidRPr="008E31D4">
              <w:rPr>
                <w:rFonts w:ascii="Century Gothic" w:hAnsi="Century Gothic" w:cs="Segoe UI"/>
              </w:rPr>
              <w:t xml:space="preserve"> </w:t>
            </w:r>
            <w:r w:rsidR="00D51F7F" w:rsidRPr="008E31D4">
              <w:rPr>
                <w:rFonts w:ascii="Century Gothic" w:hAnsi="Century Gothic" w:cs="Segoe UI"/>
              </w:rPr>
              <w:t>they have expertise/experience in?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F0FA" w14:textId="18C2C6C7" w:rsidR="008F7AF7" w:rsidRPr="008E31D4" w:rsidRDefault="0003248B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All </w:t>
            </w:r>
            <w:r w:rsidR="0047724B" w:rsidRPr="008E31D4">
              <w:rPr>
                <w:rFonts w:ascii="Century Gothic" w:hAnsi="Century Gothic" w:cs="Segoe UI"/>
                <w:sz w:val="22"/>
                <w:szCs w:val="22"/>
              </w:rPr>
              <w:t>requirements</w:t>
            </w: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 must be met</w:t>
            </w:r>
            <w:r w:rsidR="00021E76">
              <w:rPr>
                <w:rFonts w:ascii="Century Gothic" w:hAnsi="Century Gothic" w:cs="Segoe UI"/>
                <w:sz w:val="22"/>
                <w:szCs w:val="22"/>
              </w:rPr>
              <w:t xml:space="preserve"> as the terms of reference</w:t>
            </w:r>
            <w:r w:rsidR="00E31C11" w:rsidRPr="008E31D4">
              <w:rPr>
                <w:rFonts w:ascii="Century Gothic" w:hAnsi="Century Gothic" w:cs="Segoe UI"/>
                <w:sz w:val="22"/>
                <w:szCs w:val="22"/>
              </w:rPr>
              <w:t>.</w:t>
            </w:r>
          </w:p>
        </w:tc>
      </w:tr>
      <w:tr w:rsidR="00E81046" w:rsidRPr="008E31D4" w14:paraId="554E561C" w14:textId="77777777" w:rsidTr="00790BB3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843D" w14:textId="4F54A98F" w:rsidR="00E81046" w:rsidRPr="008E31D4" w:rsidRDefault="003A5977" w:rsidP="008E31D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lastRenderedPageBreak/>
              <w:t xml:space="preserve">The bidder </w:t>
            </w:r>
            <w:r w:rsidR="00BC263C">
              <w:rPr>
                <w:rFonts w:ascii="Century Gothic" w:hAnsi="Century Gothic" w:cs="Segoe UI"/>
              </w:rPr>
              <w:t>wants</w:t>
            </w:r>
            <w:r>
              <w:rPr>
                <w:rFonts w:ascii="Century Gothic" w:hAnsi="Century Gothic" w:cs="Segoe UI"/>
              </w:rPr>
              <w:t xml:space="preserve"> to know if they will be provided </w:t>
            </w:r>
            <w:r w:rsidR="00BC263C">
              <w:rPr>
                <w:rFonts w:ascii="Century Gothic" w:hAnsi="Century Gothic" w:cs="Segoe UI"/>
              </w:rPr>
              <w:t xml:space="preserve">with </w:t>
            </w:r>
            <w:r w:rsidR="00BC263C" w:rsidRPr="008E31D4">
              <w:rPr>
                <w:rFonts w:ascii="Century Gothic" w:hAnsi="Century Gothic" w:cs="Segoe UI"/>
              </w:rPr>
              <w:t>the</w:t>
            </w:r>
            <w:r w:rsidR="00E81046" w:rsidRPr="008E31D4">
              <w:rPr>
                <w:rFonts w:ascii="Century Gothic" w:hAnsi="Century Gothic" w:cs="Segoe UI"/>
              </w:rPr>
              <w:t xml:space="preserve"> </w:t>
            </w:r>
            <w:r w:rsidR="000D3330" w:rsidRPr="008E31D4">
              <w:rPr>
                <w:rFonts w:ascii="Century Gothic" w:hAnsi="Century Gothic" w:cs="Segoe UI"/>
              </w:rPr>
              <w:t>with a copy of the attendance register to proof that they have indeed attended the compulsory briefing session?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F538" w14:textId="19E41A6A" w:rsidR="00E81046" w:rsidRPr="008E31D4" w:rsidRDefault="00021E76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>
              <w:rPr>
                <w:rFonts w:ascii="Century Gothic" w:hAnsi="Century Gothic" w:cs="Segoe UI"/>
                <w:sz w:val="22"/>
                <w:szCs w:val="22"/>
              </w:rPr>
              <w:t>B</w:t>
            </w:r>
            <w:r w:rsidR="003E664F" w:rsidRPr="008E31D4">
              <w:rPr>
                <w:rFonts w:ascii="Century Gothic" w:hAnsi="Century Gothic" w:cs="Segoe UI"/>
                <w:sz w:val="22"/>
                <w:szCs w:val="22"/>
              </w:rPr>
              <w:t xml:space="preserve">idders are advised to </w:t>
            </w:r>
            <w:r>
              <w:rPr>
                <w:rFonts w:ascii="Century Gothic" w:hAnsi="Century Gothic" w:cs="Segoe UI"/>
                <w:sz w:val="22"/>
                <w:szCs w:val="22"/>
              </w:rPr>
              <w:t xml:space="preserve">download </w:t>
            </w:r>
            <w:r w:rsidR="003E664F" w:rsidRPr="008E31D4">
              <w:rPr>
                <w:rFonts w:ascii="Century Gothic" w:hAnsi="Century Gothic" w:cs="Segoe UI"/>
                <w:sz w:val="22"/>
                <w:szCs w:val="22"/>
              </w:rPr>
              <w:t>the attendance register from MS Teams.</w:t>
            </w:r>
            <w:r w:rsidR="0021154A">
              <w:rPr>
                <w:rFonts w:ascii="Century Gothic" w:hAnsi="Century Gothic" w:cs="Segoe UI"/>
                <w:sz w:val="22"/>
                <w:szCs w:val="22"/>
              </w:rPr>
              <w:t xml:space="preserve">  All bidders who attended the compulsory briefing session</w:t>
            </w:r>
            <w:r w:rsidR="00A378F1">
              <w:rPr>
                <w:rFonts w:ascii="Century Gothic" w:hAnsi="Century Gothic" w:cs="Segoe UI"/>
                <w:sz w:val="22"/>
                <w:szCs w:val="22"/>
              </w:rPr>
              <w:t xml:space="preserve"> will be able to download the </w:t>
            </w:r>
            <w:r w:rsidR="006208BF">
              <w:rPr>
                <w:rFonts w:ascii="Century Gothic" w:hAnsi="Century Gothic" w:cs="Segoe UI"/>
                <w:sz w:val="22"/>
                <w:szCs w:val="22"/>
              </w:rPr>
              <w:t>register.</w:t>
            </w:r>
          </w:p>
        </w:tc>
      </w:tr>
      <w:tr w:rsidR="008F0961" w:rsidRPr="008E31D4" w14:paraId="3E4AD266" w14:textId="77777777" w:rsidTr="00790BB3"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2D9E" w14:textId="4AA517F1" w:rsidR="008F0961" w:rsidRPr="008E31D4" w:rsidRDefault="003A5977" w:rsidP="008E31D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t xml:space="preserve">The bidder </w:t>
            </w:r>
            <w:r w:rsidR="008071B7">
              <w:rPr>
                <w:rFonts w:ascii="Century Gothic" w:hAnsi="Century Gothic" w:cs="Segoe UI"/>
              </w:rPr>
              <w:t>requested to be</w:t>
            </w:r>
            <w:r w:rsidR="001C4231" w:rsidRPr="008E31D4">
              <w:rPr>
                <w:rFonts w:ascii="Century Gothic" w:hAnsi="Century Gothic" w:cs="Segoe UI"/>
              </w:rPr>
              <w:t xml:space="preserve"> advise</w:t>
            </w:r>
            <w:r w:rsidR="008071B7">
              <w:rPr>
                <w:rFonts w:ascii="Century Gothic" w:hAnsi="Century Gothic" w:cs="Segoe UI"/>
              </w:rPr>
              <w:t>d</w:t>
            </w:r>
            <w:r w:rsidR="001C4231" w:rsidRPr="008E31D4">
              <w:rPr>
                <w:rFonts w:ascii="Century Gothic" w:hAnsi="Century Gothic" w:cs="Segoe UI"/>
              </w:rPr>
              <w:t xml:space="preserve"> with page 32, </w:t>
            </w:r>
            <w:r w:rsidR="008071B7">
              <w:rPr>
                <w:rFonts w:ascii="Century Gothic" w:hAnsi="Century Gothic" w:cs="Segoe UI"/>
              </w:rPr>
              <w:t xml:space="preserve">on </w:t>
            </w:r>
            <w:r w:rsidR="001C4231" w:rsidRPr="008E31D4">
              <w:rPr>
                <w:rFonts w:ascii="Century Gothic" w:hAnsi="Century Gothic" w:cs="Segoe UI"/>
              </w:rPr>
              <w:t>t</w:t>
            </w:r>
            <w:r w:rsidR="008071B7">
              <w:rPr>
                <w:rFonts w:ascii="Century Gothic" w:hAnsi="Century Gothic" w:cs="Segoe UI"/>
              </w:rPr>
              <w:t>able A &amp;</w:t>
            </w:r>
            <w:r w:rsidR="00460488">
              <w:rPr>
                <w:rFonts w:ascii="Century Gothic" w:hAnsi="Century Gothic" w:cs="Segoe UI"/>
              </w:rPr>
              <w:t xml:space="preserve"> </w:t>
            </w:r>
            <w:r w:rsidR="00BC263C">
              <w:rPr>
                <w:rFonts w:ascii="Century Gothic" w:hAnsi="Century Gothic" w:cs="Segoe UI"/>
              </w:rPr>
              <w:t xml:space="preserve">B </w:t>
            </w:r>
            <w:r w:rsidR="00BC263C" w:rsidRPr="008E31D4">
              <w:rPr>
                <w:rFonts w:ascii="Century Gothic" w:hAnsi="Century Gothic" w:cs="Segoe UI"/>
              </w:rPr>
              <w:t>marked</w:t>
            </w:r>
            <w:r w:rsidR="001C4231" w:rsidRPr="008E31D4">
              <w:rPr>
                <w:rFonts w:ascii="Century Gothic" w:hAnsi="Century Gothic" w:cs="Segoe UI"/>
              </w:rPr>
              <w:t xml:space="preserve"> with “XXXX”.  How do </w:t>
            </w:r>
            <w:r w:rsidR="00BC263C">
              <w:rPr>
                <w:rFonts w:ascii="Century Gothic" w:hAnsi="Century Gothic" w:cs="Segoe UI"/>
              </w:rPr>
              <w:t xml:space="preserve">they </w:t>
            </w:r>
            <w:r w:rsidR="00BC263C" w:rsidRPr="008E31D4">
              <w:rPr>
                <w:rFonts w:ascii="Century Gothic" w:hAnsi="Century Gothic" w:cs="Segoe UI"/>
              </w:rPr>
              <w:t>work</w:t>
            </w:r>
            <w:r w:rsidR="001C4231" w:rsidRPr="008E31D4">
              <w:rPr>
                <w:rFonts w:ascii="Century Gothic" w:hAnsi="Century Gothic" w:cs="Segoe UI"/>
              </w:rPr>
              <w:t xml:space="preserve"> it out or how do </w:t>
            </w:r>
            <w:r w:rsidR="00460488">
              <w:rPr>
                <w:rFonts w:ascii="Century Gothic" w:hAnsi="Century Gothic" w:cs="Segoe UI"/>
              </w:rPr>
              <w:t>they</w:t>
            </w:r>
            <w:r w:rsidR="001C4231" w:rsidRPr="008E31D4">
              <w:rPr>
                <w:rFonts w:ascii="Century Gothic" w:hAnsi="Century Gothic" w:cs="Segoe UI"/>
              </w:rPr>
              <w:t xml:space="preserve"> estimated the work that will be done not knowing or having the assignment on hand.</w:t>
            </w:r>
            <w:r w:rsidR="00876EC2" w:rsidRPr="008E31D4">
              <w:rPr>
                <w:rFonts w:ascii="Century Gothic" w:hAnsi="Century Gothic" w:cs="Segoe UI"/>
              </w:rPr>
              <w:t xml:space="preserve">  </w:t>
            </w:r>
            <w:r w:rsidR="001C4231" w:rsidRPr="008E31D4">
              <w:rPr>
                <w:rFonts w:ascii="Century Gothic" w:hAnsi="Century Gothic" w:cs="Segoe UI"/>
              </w:rPr>
              <w:t>The same as the last page of “ANNEXURE E” of General Conditions of Contract that has “Total Cost (Table A + Table B).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075A" w14:textId="594C506F" w:rsidR="008F0961" w:rsidRPr="008E31D4" w:rsidRDefault="00AC187F" w:rsidP="008E31D4">
            <w:pPr>
              <w:pStyle w:val="NormalWeb"/>
              <w:spacing w:line="360" w:lineRule="auto"/>
              <w:jc w:val="both"/>
              <w:rPr>
                <w:rFonts w:ascii="Century Gothic" w:hAnsi="Century Gothic" w:cs="Segoe UI"/>
                <w:sz w:val="22"/>
                <w:szCs w:val="22"/>
              </w:rPr>
            </w:pPr>
            <w:r w:rsidRPr="008E31D4">
              <w:rPr>
                <w:rFonts w:ascii="Century Gothic" w:hAnsi="Century Gothic" w:cs="Segoe UI"/>
                <w:sz w:val="22"/>
                <w:szCs w:val="22"/>
              </w:rPr>
              <w:t xml:space="preserve">The bidder is expected to indicate the hourly rate as per table </w:t>
            </w:r>
            <w:r w:rsidR="00BC263C" w:rsidRPr="008E31D4">
              <w:rPr>
                <w:rFonts w:ascii="Century Gothic" w:hAnsi="Century Gothic" w:cs="Segoe UI"/>
                <w:sz w:val="22"/>
                <w:szCs w:val="22"/>
              </w:rPr>
              <w:t>An and</w:t>
            </w:r>
            <w:r w:rsidR="00876EC2" w:rsidRPr="008E31D4">
              <w:rPr>
                <w:rFonts w:ascii="Century Gothic" w:hAnsi="Century Gothic" w:cs="Segoe UI"/>
                <w:sz w:val="22"/>
                <w:szCs w:val="22"/>
              </w:rPr>
              <w:t xml:space="preserve"> indicate disbursements costs</w:t>
            </w:r>
            <w:r w:rsidR="00670834">
              <w:rPr>
                <w:rFonts w:ascii="Century Gothic" w:hAnsi="Century Gothic" w:cs="Segoe UI"/>
                <w:sz w:val="22"/>
                <w:szCs w:val="22"/>
              </w:rPr>
              <w:t>.</w:t>
            </w:r>
          </w:p>
        </w:tc>
      </w:tr>
    </w:tbl>
    <w:p w14:paraId="01CDB39C" w14:textId="77777777" w:rsidR="00334E1B" w:rsidRPr="008E31D4" w:rsidRDefault="00334E1B" w:rsidP="008E31D4">
      <w:pPr>
        <w:spacing w:line="360" w:lineRule="auto"/>
        <w:jc w:val="both"/>
        <w:rPr>
          <w:rFonts w:ascii="Century Gothic" w:hAnsi="Century Gothic"/>
          <w:lang w:val="en-US"/>
        </w:rPr>
      </w:pPr>
    </w:p>
    <w:sectPr w:rsidR="00334E1B" w:rsidRPr="008E31D4" w:rsidSect="0078551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38A2" w14:textId="77777777" w:rsidR="00334E1B" w:rsidRDefault="00334E1B" w:rsidP="00334E1B">
      <w:pPr>
        <w:spacing w:after="0" w:line="240" w:lineRule="auto"/>
      </w:pPr>
      <w:r>
        <w:separator/>
      </w:r>
    </w:p>
  </w:endnote>
  <w:endnote w:type="continuationSeparator" w:id="0">
    <w:p w14:paraId="5C8BDA4D" w14:textId="77777777" w:rsidR="00334E1B" w:rsidRDefault="00334E1B" w:rsidP="003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287" w14:textId="77777777" w:rsidR="00800810" w:rsidRDefault="0080081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9FA5725" w14:textId="098E2C4A" w:rsidR="00800810" w:rsidRPr="00800810" w:rsidRDefault="00800810" w:rsidP="00800810">
    <w:pPr>
      <w:tabs>
        <w:tab w:val="left" w:pos="864"/>
      </w:tabs>
      <w:rPr>
        <w:rFonts w:ascii="Century Gothic" w:hAnsi="Century Gothic"/>
        <w:b/>
        <w:sz w:val="16"/>
        <w:szCs w:val="16"/>
      </w:rPr>
    </w:pPr>
    <w:r w:rsidRPr="00800810">
      <w:rPr>
        <w:rFonts w:ascii="Century Gothic" w:hAnsi="Century Gothic"/>
        <w:b/>
        <w:sz w:val="16"/>
        <w:szCs w:val="16"/>
      </w:rPr>
      <w:t>UMALUSI (23-24) T0005 APPOINTMENT OF A PANEL OF TWO LEGAL FIRMS TO PROVIDE LEGAL SERVICES AND LEGAL SUPPORT TO UMALUSI FOR A PERIOD OF THREE (3) YEARS.</w:t>
    </w:r>
  </w:p>
  <w:p w14:paraId="17807719" w14:textId="77777777" w:rsidR="00800810" w:rsidRDefault="0080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946A" w14:textId="77777777" w:rsidR="00334E1B" w:rsidRDefault="00334E1B" w:rsidP="00334E1B">
      <w:pPr>
        <w:spacing w:after="0" w:line="240" w:lineRule="auto"/>
      </w:pPr>
      <w:r>
        <w:separator/>
      </w:r>
    </w:p>
  </w:footnote>
  <w:footnote w:type="continuationSeparator" w:id="0">
    <w:p w14:paraId="3DEA752C" w14:textId="77777777" w:rsidR="00334E1B" w:rsidRDefault="00334E1B" w:rsidP="0033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808"/>
    <w:multiLevelType w:val="multilevel"/>
    <w:tmpl w:val="64162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365"/>
    <w:multiLevelType w:val="hybridMultilevel"/>
    <w:tmpl w:val="4EA21C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2D83"/>
    <w:multiLevelType w:val="hybridMultilevel"/>
    <w:tmpl w:val="68E0E3A0"/>
    <w:lvl w:ilvl="0" w:tplc="05086E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04C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CD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22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EBC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848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64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2D3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644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46B8"/>
    <w:multiLevelType w:val="hybridMultilevel"/>
    <w:tmpl w:val="D6C4AF02"/>
    <w:lvl w:ilvl="0" w:tplc="1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22489F"/>
    <w:multiLevelType w:val="hybridMultilevel"/>
    <w:tmpl w:val="369EC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33DA"/>
    <w:multiLevelType w:val="hybridMultilevel"/>
    <w:tmpl w:val="4B9616E4"/>
    <w:lvl w:ilvl="0" w:tplc="53EE3B8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4022B"/>
    <w:multiLevelType w:val="hybridMultilevel"/>
    <w:tmpl w:val="D4F8BC18"/>
    <w:lvl w:ilvl="0" w:tplc="9E082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935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46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AC3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802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CE7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464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4D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0AB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0174">
    <w:abstractNumId w:val="1"/>
  </w:num>
  <w:num w:numId="2" w16cid:durableId="1583442772">
    <w:abstractNumId w:val="3"/>
  </w:num>
  <w:num w:numId="3" w16cid:durableId="943002146">
    <w:abstractNumId w:val="0"/>
  </w:num>
  <w:num w:numId="4" w16cid:durableId="265893687">
    <w:abstractNumId w:val="5"/>
  </w:num>
  <w:num w:numId="5" w16cid:durableId="1046760702">
    <w:abstractNumId w:val="2"/>
  </w:num>
  <w:num w:numId="6" w16cid:durableId="2107578650">
    <w:abstractNumId w:val="6"/>
  </w:num>
  <w:num w:numId="7" w16cid:durableId="1315330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B"/>
    <w:rsid w:val="000078D0"/>
    <w:rsid w:val="00013C33"/>
    <w:rsid w:val="0001434E"/>
    <w:rsid w:val="00021E76"/>
    <w:rsid w:val="000263B5"/>
    <w:rsid w:val="00026F45"/>
    <w:rsid w:val="0003248B"/>
    <w:rsid w:val="00033168"/>
    <w:rsid w:val="000426B5"/>
    <w:rsid w:val="00045283"/>
    <w:rsid w:val="000744FA"/>
    <w:rsid w:val="00074A52"/>
    <w:rsid w:val="000760F7"/>
    <w:rsid w:val="00091149"/>
    <w:rsid w:val="000A1116"/>
    <w:rsid w:val="000B0CF3"/>
    <w:rsid w:val="000B37CC"/>
    <w:rsid w:val="000C22C6"/>
    <w:rsid w:val="000D2F51"/>
    <w:rsid w:val="000D3330"/>
    <w:rsid w:val="0010774B"/>
    <w:rsid w:val="00111BC2"/>
    <w:rsid w:val="001124FD"/>
    <w:rsid w:val="00132EEA"/>
    <w:rsid w:val="00145C3E"/>
    <w:rsid w:val="00161D0C"/>
    <w:rsid w:val="0016291B"/>
    <w:rsid w:val="0016554D"/>
    <w:rsid w:val="001717D4"/>
    <w:rsid w:val="001A6016"/>
    <w:rsid w:val="001C3C81"/>
    <w:rsid w:val="001C4231"/>
    <w:rsid w:val="001D4B26"/>
    <w:rsid w:val="001E612E"/>
    <w:rsid w:val="001F4EC1"/>
    <w:rsid w:val="0021154A"/>
    <w:rsid w:val="00214440"/>
    <w:rsid w:val="00215E8E"/>
    <w:rsid w:val="00220698"/>
    <w:rsid w:val="00263463"/>
    <w:rsid w:val="00264BAE"/>
    <w:rsid w:val="002E3509"/>
    <w:rsid w:val="002E70D3"/>
    <w:rsid w:val="00300499"/>
    <w:rsid w:val="00304141"/>
    <w:rsid w:val="00315B32"/>
    <w:rsid w:val="00334E1B"/>
    <w:rsid w:val="00357B23"/>
    <w:rsid w:val="00363352"/>
    <w:rsid w:val="003724C7"/>
    <w:rsid w:val="003A5977"/>
    <w:rsid w:val="003C07A1"/>
    <w:rsid w:val="003D301B"/>
    <w:rsid w:val="003E664F"/>
    <w:rsid w:val="003F08D0"/>
    <w:rsid w:val="00447F3F"/>
    <w:rsid w:val="00454C51"/>
    <w:rsid w:val="00460488"/>
    <w:rsid w:val="0047724B"/>
    <w:rsid w:val="00484ED9"/>
    <w:rsid w:val="004A74C9"/>
    <w:rsid w:val="004B3805"/>
    <w:rsid w:val="004B760E"/>
    <w:rsid w:val="004C1498"/>
    <w:rsid w:val="004D2942"/>
    <w:rsid w:val="004E2A17"/>
    <w:rsid w:val="004E332C"/>
    <w:rsid w:val="00527A51"/>
    <w:rsid w:val="00530A7C"/>
    <w:rsid w:val="005355BB"/>
    <w:rsid w:val="00551921"/>
    <w:rsid w:val="00551F6E"/>
    <w:rsid w:val="005569DA"/>
    <w:rsid w:val="005A131E"/>
    <w:rsid w:val="005A7746"/>
    <w:rsid w:val="005B59A8"/>
    <w:rsid w:val="005B77BA"/>
    <w:rsid w:val="005D4880"/>
    <w:rsid w:val="005D7FD2"/>
    <w:rsid w:val="005E67D7"/>
    <w:rsid w:val="005F0681"/>
    <w:rsid w:val="006208BF"/>
    <w:rsid w:val="00627E39"/>
    <w:rsid w:val="00642EBE"/>
    <w:rsid w:val="006432C4"/>
    <w:rsid w:val="00643B76"/>
    <w:rsid w:val="0064565F"/>
    <w:rsid w:val="00670834"/>
    <w:rsid w:val="006D78F4"/>
    <w:rsid w:val="006E5263"/>
    <w:rsid w:val="006F3299"/>
    <w:rsid w:val="00727796"/>
    <w:rsid w:val="00732F7A"/>
    <w:rsid w:val="00733DC0"/>
    <w:rsid w:val="0076189D"/>
    <w:rsid w:val="00785510"/>
    <w:rsid w:val="00790BB3"/>
    <w:rsid w:val="007A1CDE"/>
    <w:rsid w:val="007A5933"/>
    <w:rsid w:val="007C1043"/>
    <w:rsid w:val="007D0BA3"/>
    <w:rsid w:val="007E7529"/>
    <w:rsid w:val="007E772C"/>
    <w:rsid w:val="007F2BDC"/>
    <w:rsid w:val="007F66D7"/>
    <w:rsid w:val="00800810"/>
    <w:rsid w:val="008071B7"/>
    <w:rsid w:val="00822DB2"/>
    <w:rsid w:val="00863E31"/>
    <w:rsid w:val="0087548F"/>
    <w:rsid w:val="00876EC2"/>
    <w:rsid w:val="00881F58"/>
    <w:rsid w:val="0088305F"/>
    <w:rsid w:val="008D1076"/>
    <w:rsid w:val="008E0D6B"/>
    <w:rsid w:val="008E1120"/>
    <w:rsid w:val="008E31D4"/>
    <w:rsid w:val="008F0961"/>
    <w:rsid w:val="008F7AF7"/>
    <w:rsid w:val="00916B57"/>
    <w:rsid w:val="00943DE4"/>
    <w:rsid w:val="0096418B"/>
    <w:rsid w:val="00964BE6"/>
    <w:rsid w:val="00966141"/>
    <w:rsid w:val="00972117"/>
    <w:rsid w:val="0099290E"/>
    <w:rsid w:val="00993AD5"/>
    <w:rsid w:val="009B105E"/>
    <w:rsid w:val="009D6C81"/>
    <w:rsid w:val="009E1B39"/>
    <w:rsid w:val="00A00C5F"/>
    <w:rsid w:val="00A378F1"/>
    <w:rsid w:val="00A40786"/>
    <w:rsid w:val="00A5099A"/>
    <w:rsid w:val="00A87419"/>
    <w:rsid w:val="00A94E0E"/>
    <w:rsid w:val="00AC187F"/>
    <w:rsid w:val="00AC2555"/>
    <w:rsid w:val="00AD09F9"/>
    <w:rsid w:val="00AF51B2"/>
    <w:rsid w:val="00B02DF3"/>
    <w:rsid w:val="00B05292"/>
    <w:rsid w:val="00B15FFE"/>
    <w:rsid w:val="00B35B0E"/>
    <w:rsid w:val="00B6142E"/>
    <w:rsid w:val="00B63B1A"/>
    <w:rsid w:val="00B81105"/>
    <w:rsid w:val="00B83E33"/>
    <w:rsid w:val="00BA21D2"/>
    <w:rsid w:val="00BB2F22"/>
    <w:rsid w:val="00BB4F47"/>
    <w:rsid w:val="00BC263C"/>
    <w:rsid w:val="00BC3A57"/>
    <w:rsid w:val="00BC42BC"/>
    <w:rsid w:val="00BD5471"/>
    <w:rsid w:val="00BE7001"/>
    <w:rsid w:val="00BF4362"/>
    <w:rsid w:val="00C04075"/>
    <w:rsid w:val="00C20F8D"/>
    <w:rsid w:val="00C36114"/>
    <w:rsid w:val="00C7318F"/>
    <w:rsid w:val="00C8119D"/>
    <w:rsid w:val="00C82E31"/>
    <w:rsid w:val="00C91B71"/>
    <w:rsid w:val="00C95C3B"/>
    <w:rsid w:val="00CA2FBE"/>
    <w:rsid w:val="00CA3404"/>
    <w:rsid w:val="00CA67A6"/>
    <w:rsid w:val="00CA76AB"/>
    <w:rsid w:val="00CB3DA9"/>
    <w:rsid w:val="00CD3F5B"/>
    <w:rsid w:val="00CD7540"/>
    <w:rsid w:val="00D12001"/>
    <w:rsid w:val="00D144E0"/>
    <w:rsid w:val="00D361C4"/>
    <w:rsid w:val="00D378E6"/>
    <w:rsid w:val="00D45DAC"/>
    <w:rsid w:val="00D51F7F"/>
    <w:rsid w:val="00D547DA"/>
    <w:rsid w:val="00D564EE"/>
    <w:rsid w:val="00D62677"/>
    <w:rsid w:val="00D72523"/>
    <w:rsid w:val="00D765A8"/>
    <w:rsid w:val="00D9570C"/>
    <w:rsid w:val="00D972FC"/>
    <w:rsid w:val="00DA3393"/>
    <w:rsid w:val="00DA4C06"/>
    <w:rsid w:val="00DA6E9A"/>
    <w:rsid w:val="00DB1A75"/>
    <w:rsid w:val="00DE5A8C"/>
    <w:rsid w:val="00DF51A7"/>
    <w:rsid w:val="00DF54D5"/>
    <w:rsid w:val="00E04D1B"/>
    <w:rsid w:val="00E10DA5"/>
    <w:rsid w:val="00E14CB7"/>
    <w:rsid w:val="00E16D1D"/>
    <w:rsid w:val="00E26BD8"/>
    <w:rsid w:val="00E31C11"/>
    <w:rsid w:val="00E64CBA"/>
    <w:rsid w:val="00E74215"/>
    <w:rsid w:val="00E81046"/>
    <w:rsid w:val="00E91918"/>
    <w:rsid w:val="00E96272"/>
    <w:rsid w:val="00EA2091"/>
    <w:rsid w:val="00EB3C37"/>
    <w:rsid w:val="00EC442D"/>
    <w:rsid w:val="00ED488B"/>
    <w:rsid w:val="00EE4AC0"/>
    <w:rsid w:val="00F00021"/>
    <w:rsid w:val="00F23A16"/>
    <w:rsid w:val="00F32ECE"/>
    <w:rsid w:val="00F3393E"/>
    <w:rsid w:val="00F348B4"/>
    <w:rsid w:val="00F43DF7"/>
    <w:rsid w:val="00F46662"/>
    <w:rsid w:val="00F4764A"/>
    <w:rsid w:val="00F5194D"/>
    <w:rsid w:val="00F55E0E"/>
    <w:rsid w:val="00F81414"/>
    <w:rsid w:val="00F91A6A"/>
    <w:rsid w:val="00F935E8"/>
    <w:rsid w:val="00FC3046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2FD9AB"/>
  <w15:chartTrackingRefBased/>
  <w15:docId w15:val="{47D985F2-3B87-46EF-963D-2806AA66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1B"/>
  </w:style>
  <w:style w:type="paragraph" w:styleId="Footer">
    <w:name w:val="footer"/>
    <w:basedOn w:val="Normal"/>
    <w:link w:val="FooterChar"/>
    <w:uiPriority w:val="99"/>
    <w:unhideWhenUsed/>
    <w:rsid w:val="003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1B"/>
  </w:style>
  <w:style w:type="paragraph" w:styleId="ListParagraph">
    <w:name w:val="List Paragraph"/>
    <w:basedOn w:val="Normal"/>
    <w:uiPriority w:val="34"/>
    <w:qFormat/>
    <w:rsid w:val="00334E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C304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ui-provider">
    <w:name w:val="ui-provider"/>
    <w:basedOn w:val="DefaultParagraphFont"/>
    <w:rsid w:val="00B1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6985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841">
          <w:marLeft w:val="67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87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83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87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43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Philemon Letlape</dc:creator>
  <cp:keywords/>
  <dc:description/>
  <cp:lastModifiedBy>Sbahle Mhlaba</cp:lastModifiedBy>
  <cp:revision>2</cp:revision>
  <dcterms:created xsi:type="dcterms:W3CDTF">2024-04-19T13:32:00Z</dcterms:created>
  <dcterms:modified xsi:type="dcterms:W3CDTF">2024-04-19T13:32:00Z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ba724a480c72f27a3fa8bde8ddb8c1ba4f7cff7c368a011b8507884a32614520</vt:lpwstr>
  </property>
</Properties>
</file>